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0EFC" w14:textId="14DA598A" w:rsidR="00946415" w:rsidRPr="000C02B2" w:rsidRDefault="00946415" w:rsidP="008B5C0E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3" w:hanging="357"/>
        <w:jc w:val="both"/>
        <w:rPr>
          <w:rFonts w:ascii="Arial" w:hAnsi="Arial" w:cs="Arial"/>
          <w:sz w:val="22"/>
          <w:szCs w:val="22"/>
        </w:rPr>
      </w:pPr>
      <w:r w:rsidRPr="000C02B2">
        <w:rPr>
          <w:rFonts w:ascii="Arial" w:hAnsi="Arial" w:cs="Arial"/>
          <w:sz w:val="22"/>
          <w:szCs w:val="22"/>
        </w:rPr>
        <w:t xml:space="preserve">Claim farming is the process by which a third party (the claim farmer) </w:t>
      </w:r>
      <w:bookmarkStart w:id="0" w:name="_Hlk94706083"/>
      <w:r w:rsidRPr="000C02B2">
        <w:rPr>
          <w:rFonts w:ascii="Arial" w:hAnsi="Arial" w:cs="Arial"/>
          <w:sz w:val="22"/>
          <w:szCs w:val="22"/>
        </w:rPr>
        <w:t>cold-calls or approaches individuals to pressure them into making a compensation claim. Claim farmers seek to induce or harass individuals to make a claim with the promise of quick, easy and significant compensation and then sell the individual’s personal information to a legal practitioner or other service provider who then handles the claim</w:t>
      </w:r>
      <w:bookmarkEnd w:id="0"/>
      <w:r w:rsidRPr="000C02B2">
        <w:rPr>
          <w:rFonts w:ascii="Arial" w:hAnsi="Arial" w:cs="Arial"/>
          <w:sz w:val="22"/>
          <w:szCs w:val="22"/>
        </w:rPr>
        <w:t xml:space="preserve">. </w:t>
      </w:r>
    </w:p>
    <w:p w14:paraId="274CA24E" w14:textId="6351A757" w:rsidR="00946415" w:rsidRPr="000C02B2" w:rsidRDefault="00946415" w:rsidP="008B5C0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3" w:hanging="357"/>
        <w:jc w:val="both"/>
        <w:rPr>
          <w:rFonts w:ascii="Arial" w:hAnsi="Arial" w:cs="Arial"/>
          <w:sz w:val="22"/>
          <w:szCs w:val="22"/>
        </w:rPr>
      </w:pPr>
      <w:r w:rsidRPr="000C02B2">
        <w:rPr>
          <w:rFonts w:ascii="Arial" w:hAnsi="Arial" w:cs="Arial"/>
          <w:sz w:val="22"/>
          <w:szCs w:val="22"/>
        </w:rPr>
        <w:t xml:space="preserve">The </w:t>
      </w:r>
      <w:bookmarkStart w:id="1" w:name="_Hlk80794216"/>
      <w:r w:rsidRPr="00725593">
        <w:rPr>
          <w:rFonts w:ascii="Arial" w:hAnsi="Arial" w:cs="Arial"/>
          <w:i/>
          <w:iCs/>
          <w:sz w:val="22"/>
          <w:szCs w:val="22"/>
        </w:rPr>
        <w:t>Motor Accident Insurance and Other Legislation Amendment Act 2019</w:t>
      </w:r>
      <w:r w:rsidRPr="000C02B2">
        <w:rPr>
          <w:rFonts w:ascii="Arial" w:hAnsi="Arial" w:cs="Arial"/>
          <w:sz w:val="22"/>
          <w:szCs w:val="22"/>
        </w:rPr>
        <w:t xml:space="preserve"> </w:t>
      </w:r>
      <w:bookmarkEnd w:id="1"/>
      <w:r w:rsidRPr="000C02B2">
        <w:rPr>
          <w:rFonts w:ascii="Arial" w:hAnsi="Arial" w:cs="Arial"/>
          <w:sz w:val="22"/>
          <w:szCs w:val="22"/>
        </w:rPr>
        <w:t>was introduced to stop the increasingly prevalent practice of claim farming for compulsory third party claims.</w:t>
      </w:r>
      <w:r w:rsidR="00636B9B" w:rsidRPr="000C02B2">
        <w:rPr>
          <w:rFonts w:ascii="Arial" w:hAnsi="Arial" w:cs="Arial"/>
          <w:sz w:val="22"/>
          <w:szCs w:val="22"/>
        </w:rPr>
        <w:t xml:space="preserve"> </w:t>
      </w:r>
      <w:r w:rsidRPr="000C02B2">
        <w:rPr>
          <w:rFonts w:ascii="Arial" w:hAnsi="Arial" w:cs="Arial"/>
          <w:sz w:val="22"/>
          <w:szCs w:val="22"/>
        </w:rPr>
        <w:t>Stakeholders advise that the claim farming industry has since pivoted to general personal injury and workers’ compensation claims.</w:t>
      </w:r>
      <w:bookmarkStart w:id="2" w:name="_Hlk87616746"/>
    </w:p>
    <w:bookmarkEnd w:id="2"/>
    <w:p w14:paraId="1724A8AD" w14:textId="6CB1384D" w:rsidR="00636B9B" w:rsidRPr="000C02B2" w:rsidRDefault="005565F5" w:rsidP="008B5C0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3" w:hanging="357"/>
        <w:jc w:val="both"/>
        <w:rPr>
          <w:rFonts w:ascii="Arial" w:hAnsi="Arial" w:cs="Arial"/>
          <w:sz w:val="22"/>
          <w:szCs w:val="22"/>
        </w:rPr>
      </w:pPr>
      <w:r w:rsidRPr="00473382">
        <w:rPr>
          <w:rFonts w:ascii="Arial" w:hAnsi="Arial" w:cs="Arial"/>
          <w:sz w:val="22"/>
          <w:szCs w:val="22"/>
        </w:rPr>
        <w:t xml:space="preserve">The </w:t>
      </w:r>
      <w:bookmarkStart w:id="3" w:name="_Hlk96861396"/>
      <w:r w:rsidR="00946415" w:rsidRPr="000C02B2">
        <w:rPr>
          <w:rFonts w:ascii="Arial" w:hAnsi="Arial" w:cs="Arial"/>
          <w:sz w:val="22"/>
          <w:szCs w:val="22"/>
        </w:rPr>
        <w:t>Personal Injuries Proceedings and Other Legislation Amendment Bill 2022</w:t>
      </w:r>
      <w:r w:rsidR="008A55FF">
        <w:rPr>
          <w:rFonts w:ascii="Arial" w:hAnsi="Arial" w:cs="Arial"/>
          <w:sz w:val="22"/>
          <w:szCs w:val="22"/>
        </w:rPr>
        <w:t xml:space="preserve"> (the Bill)</w:t>
      </w:r>
      <w:r w:rsidR="00946415" w:rsidRPr="000C02B2">
        <w:rPr>
          <w:rFonts w:ascii="Arial" w:hAnsi="Arial" w:cs="Arial"/>
          <w:sz w:val="22"/>
          <w:szCs w:val="22"/>
        </w:rPr>
        <w:t xml:space="preserve"> </w:t>
      </w:r>
      <w:bookmarkEnd w:id="3"/>
      <w:r w:rsidR="00636B9B" w:rsidRPr="000C02B2">
        <w:rPr>
          <w:rFonts w:ascii="Arial" w:hAnsi="Arial" w:cs="Arial"/>
          <w:sz w:val="22"/>
          <w:szCs w:val="22"/>
        </w:rPr>
        <w:t>a</w:t>
      </w:r>
      <w:r w:rsidR="00946415" w:rsidRPr="000C02B2">
        <w:rPr>
          <w:rFonts w:ascii="Arial" w:hAnsi="Arial" w:cs="Arial"/>
          <w:sz w:val="22"/>
          <w:szCs w:val="22"/>
        </w:rPr>
        <w:t>mend</w:t>
      </w:r>
      <w:r w:rsidR="00C47D2F">
        <w:rPr>
          <w:rFonts w:ascii="Arial" w:hAnsi="Arial" w:cs="Arial"/>
          <w:sz w:val="22"/>
          <w:szCs w:val="22"/>
        </w:rPr>
        <w:t>s</w:t>
      </w:r>
      <w:r w:rsidR="00946415" w:rsidRPr="000C02B2">
        <w:rPr>
          <w:rFonts w:ascii="Arial" w:hAnsi="Arial" w:cs="Arial"/>
          <w:sz w:val="22"/>
          <w:szCs w:val="22"/>
        </w:rPr>
        <w:t xml:space="preserve"> the </w:t>
      </w:r>
      <w:r w:rsidR="00946415" w:rsidRPr="00473382">
        <w:rPr>
          <w:rFonts w:ascii="Arial" w:hAnsi="Arial" w:cs="Arial"/>
          <w:i/>
          <w:iCs/>
          <w:sz w:val="22"/>
          <w:szCs w:val="22"/>
        </w:rPr>
        <w:t>Personal Injuries Proceedings Act 2002</w:t>
      </w:r>
      <w:r w:rsidR="00A600D9">
        <w:rPr>
          <w:rFonts w:ascii="Arial" w:hAnsi="Arial" w:cs="Arial"/>
          <w:i/>
          <w:iCs/>
          <w:sz w:val="22"/>
          <w:szCs w:val="22"/>
        </w:rPr>
        <w:t>, Legal Profession Act 2007</w:t>
      </w:r>
      <w:r w:rsidR="00A600D9">
        <w:rPr>
          <w:rFonts w:ascii="Arial" w:hAnsi="Arial" w:cs="Arial"/>
          <w:sz w:val="22"/>
          <w:szCs w:val="22"/>
        </w:rPr>
        <w:t xml:space="preserve"> (LP Act)</w:t>
      </w:r>
      <w:r w:rsidR="00946415" w:rsidRPr="00473382">
        <w:rPr>
          <w:rFonts w:ascii="Arial" w:hAnsi="Arial" w:cs="Arial"/>
          <w:sz w:val="22"/>
          <w:szCs w:val="22"/>
        </w:rPr>
        <w:t xml:space="preserve"> </w:t>
      </w:r>
      <w:r w:rsidR="00946415" w:rsidRPr="000C02B2">
        <w:rPr>
          <w:rFonts w:ascii="Arial" w:hAnsi="Arial" w:cs="Arial"/>
          <w:sz w:val="22"/>
          <w:szCs w:val="22"/>
        </w:rPr>
        <w:t xml:space="preserve">and the </w:t>
      </w:r>
      <w:r w:rsidR="00946415" w:rsidRPr="00473382">
        <w:rPr>
          <w:rFonts w:ascii="Arial" w:hAnsi="Arial" w:cs="Arial"/>
          <w:i/>
          <w:iCs/>
          <w:sz w:val="22"/>
          <w:szCs w:val="22"/>
        </w:rPr>
        <w:t>Workers’ Compensation and Rehabilitation Act 2003</w:t>
      </w:r>
      <w:r w:rsidR="00946415" w:rsidRPr="000C02B2">
        <w:rPr>
          <w:rFonts w:ascii="Arial" w:hAnsi="Arial" w:cs="Arial"/>
          <w:sz w:val="22"/>
          <w:szCs w:val="22"/>
        </w:rPr>
        <w:t xml:space="preserve"> </w:t>
      </w:r>
      <w:r w:rsidR="00636B9B" w:rsidRPr="000C02B2">
        <w:rPr>
          <w:rFonts w:ascii="Arial" w:hAnsi="Arial" w:cs="Arial"/>
          <w:sz w:val="22"/>
          <w:szCs w:val="22"/>
        </w:rPr>
        <w:t xml:space="preserve">(WCR Act) </w:t>
      </w:r>
      <w:r w:rsidR="00946415" w:rsidRPr="000C02B2">
        <w:rPr>
          <w:rFonts w:ascii="Arial" w:hAnsi="Arial" w:cs="Arial"/>
          <w:sz w:val="22"/>
          <w:szCs w:val="22"/>
        </w:rPr>
        <w:t xml:space="preserve">to prevent claim farming for personal injury claims and workers’ compensation claims. The amendments </w:t>
      </w:r>
      <w:r w:rsidR="00C47D2F">
        <w:rPr>
          <w:rFonts w:ascii="Arial" w:hAnsi="Arial" w:cs="Arial"/>
          <w:sz w:val="22"/>
          <w:szCs w:val="22"/>
        </w:rPr>
        <w:t>aim to</w:t>
      </w:r>
      <w:r w:rsidR="00636B9B" w:rsidRPr="000C02B2">
        <w:rPr>
          <w:rFonts w:ascii="Arial" w:hAnsi="Arial" w:cs="Arial"/>
          <w:sz w:val="22"/>
          <w:szCs w:val="22"/>
        </w:rPr>
        <w:t xml:space="preserve">: </w:t>
      </w:r>
    </w:p>
    <w:p w14:paraId="27BA1703" w14:textId="77777777" w:rsidR="00636B9B" w:rsidRPr="000C02B2" w:rsidRDefault="00946415" w:rsidP="008B5C0E">
      <w:pPr>
        <w:numPr>
          <w:ilvl w:val="0"/>
          <w:numId w:val="2"/>
        </w:numPr>
        <w:spacing w:before="80"/>
        <w:ind w:left="811"/>
        <w:jc w:val="both"/>
        <w:rPr>
          <w:rFonts w:ascii="Arial" w:hAnsi="Arial" w:cs="Arial"/>
          <w:sz w:val="22"/>
          <w:szCs w:val="22"/>
        </w:rPr>
      </w:pPr>
      <w:r w:rsidRPr="000C02B2">
        <w:rPr>
          <w:rFonts w:ascii="Arial" w:hAnsi="Arial" w:cs="Arial"/>
          <w:sz w:val="22"/>
          <w:szCs w:val="22"/>
        </w:rPr>
        <w:t>prohibit cold-calling or personally approaching another person without their consent and soliciting or inducing them to make a claim</w:t>
      </w:r>
      <w:r w:rsidR="00636B9B" w:rsidRPr="000C02B2">
        <w:rPr>
          <w:rFonts w:ascii="Arial" w:hAnsi="Arial" w:cs="Arial"/>
          <w:sz w:val="22"/>
          <w:szCs w:val="22"/>
        </w:rPr>
        <w:t xml:space="preserve">; </w:t>
      </w:r>
    </w:p>
    <w:p w14:paraId="7A90ADFD" w14:textId="1B6FB687" w:rsidR="00636B9B" w:rsidRPr="000C02B2" w:rsidRDefault="00946415" w:rsidP="008B5C0E">
      <w:pPr>
        <w:numPr>
          <w:ilvl w:val="0"/>
          <w:numId w:val="2"/>
        </w:numPr>
        <w:spacing w:before="80"/>
        <w:ind w:left="811"/>
        <w:jc w:val="both"/>
        <w:rPr>
          <w:rFonts w:ascii="Arial" w:hAnsi="Arial" w:cs="Arial"/>
          <w:sz w:val="22"/>
          <w:szCs w:val="22"/>
        </w:rPr>
      </w:pPr>
      <w:r w:rsidRPr="000C02B2">
        <w:rPr>
          <w:rFonts w:ascii="Arial" w:hAnsi="Arial" w:cs="Arial"/>
          <w:sz w:val="22"/>
          <w:szCs w:val="22"/>
        </w:rPr>
        <w:t>make it an offence for any person to pay claim farmers for the details of potential claimants or to receive payment for a claim referral or potential claim referral</w:t>
      </w:r>
      <w:r w:rsidR="00636B9B" w:rsidRPr="000C02B2">
        <w:rPr>
          <w:rFonts w:ascii="Arial" w:hAnsi="Arial" w:cs="Arial"/>
          <w:sz w:val="22"/>
          <w:szCs w:val="22"/>
        </w:rPr>
        <w:t xml:space="preserve">; </w:t>
      </w:r>
    </w:p>
    <w:p w14:paraId="659E5BF4" w14:textId="085F5FF0" w:rsidR="00636B9B" w:rsidRDefault="00636B9B" w:rsidP="008B5C0E">
      <w:pPr>
        <w:numPr>
          <w:ilvl w:val="0"/>
          <w:numId w:val="2"/>
        </w:numPr>
        <w:spacing w:before="80"/>
        <w:ind w:left="811"/>
        <w:jc w:val="both"/>
        <w:rPr>
          <w:rFonts w:ascii="Arial" w:hAnsi="Arial" w:cs="Arial"/>
          <w:sz w:val="22"/>
          <w:szCs w:val="22"/>
        </w:rPr>
      </w:pPr>
      <w:r w:rsidRPr="000C02B2">
        <w:rPr>
          <w:rFonts w:ascii="Arial" w:hAnsi="Arial" w:cs="Arial"/>
          <w:sz w:val="22"/>
          <w:szCs w:val="22"/>
        </w:rPr>
        <w:t xml:space="preserve">impose obligations on legal practitioners who represent injured claimants to certify during the claims process that neither they nor their associates have paid a claim farmer for the claim (the law practice certificate requirement); </w:t>
      </w:r>
    </w:p>
    <w:p w14:paraId="123FC27E" w14:textId="260C1C0E" w:rsidR="00473382" w:rsidRPr="00473382" w:rsidRDefault="00473382" w:rsidP="008B5C0E">
      <w:pPr>
        <w:numPr>
          <w:ilvl w:val="0"/>
          <w:numId w:val="2"/>
        </w:numPr>
        <w:spacing w:before="8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require</w:t>
      </w:r>
      <w:r w:rsidRPr="00473382">
        <w:rPr>
          <w:rFonts w:ascii="Arial" w:hAnsi="Arial" w:cs="Arial"/>
          <w:sz w:val="22"/>
          <w:szCs w:val="22"/>
        </w:rPr>
        <w:t xml:space="preserve"> law practices refund, or not recover, fees and disbursements paid in connection with a claim that has been claim farmed</w:t>
      </w:r>
      <w:r w:rsidR="004161E7">
        <w:rPr>
          <w:rFonts w:ascii="Arial" w:hAnsi="Arial" w:cs="Arial"/>
          <w:sz w:val="22"/>
          <w:szCs w:val="22"/>
        </w:rPr>
        <w:t>;</w:t>
      </w:r>
    </w:p>
    <w:p w14:paraId="4ECCFF67" w14:textId="3F8A6852" w:rsidR="00636B9B" w:rsidRPr="000C02B2" w:rsidRDefault="00636B9B" w:rsidP="008B5C0E">
      <w:pPr>
        <w:numPr>
          <w:ilvl w:val="0"/>
          <w:numId w:val="2"/>
        </w:numPr>
        <w:spacing w:before="80"/>
        <w:ind w:left="811"/>
        <w:jc w:val="both"/>
        <w:rPr>
          <w:rFonts w:ascii="Arial" w:hAnsi="Arial" w:cs="Arial"/>
          <w:sz w:val="22"/>
          <w:szCs w:val="22"/>
        </w:rPr>
      </w:pPr>
      <w:r w:rsidRPr="000C02B2">
        <w:rPr>
          <w:rFonts w:ascii="Arial" w:hAnsi="Arial" w:cs="Arial"/>
          <w:sz w:val="22"/>
          <w:szCs w:val="22"/>
        </w:rPr>
        <w:t xml:space="preserve">provide the Legal Services Commission </w:t>
      </w:r>
      <w:r w:rsidR="000C02B2">
        <w:rPr>
          <w:rFonts w:ascii="Arial" w:hAnsi="Arial" w:cs="Arial"/>
          <w:sz w:val="22"/>
          <w:szCs w:val="22"/>
        </w:rPr>
        <w:t xml:space="preserve">(LSC) </w:t>
      </w:r>
      <w:r w:rsidRPr="000C02B2">
        <w:rPr>
          <w:rFonts w:ascii="Arial" w:hAnsi="Arial" w:cs="Arial"/>
          <w:sz w:val="22"/>
          <w:szCs w:val="22"/>
        </w:rPr>
        <w:t>with additional powers to oversee and enforce the new claim farming provisions</w:t>
      </w:r>
      <w:bookmarkStart w:id="4" w:name="_Hlk87616659"/>
      <w:r w:rsidRPr="000C02B2">
        <w:rPr>
          <w:rFonts w:ascii="Arial" w:hAnsi="Arial" w:cs="Arial"/>
          <w:sz w:val="22"/>
          <w:szCs w:val="22"/>
        </w:rPr>
        <w:t xml:space="preserve"> and require </w:t>
      </w:r>
      <w:r w:rsidR="00B65391">
        <w:rPr>
          <w:rFonts w:ascii="Arial" w:hAnsi="Arial" w:cs="Arial"/>
          <w:sz w:val="22"/>
          <w:szCs w:val="22"/>
        </w:rPr>
        <w:t xml:space="preserve">law practices retained by respondent’s and </w:t>
      </w:r>
      <w:r w:rsidRPr="000C02B2">
        <w:rPr>
          <w:rFonts w:ascii="Arial" w:hAnsi="Arial" w:cs="Arial"/>
          <w:sz w:val="22"/>
          <w:szCs w:val="22"/>
        </w:rPr>
        <w:t>insurers to notify the LSC if they suspect a contravention of the law practice certificate requirement</w:t>
      </w:r>
      <w:r w:rsidR="00B65391">
        <w:rPr>
          <w:rFonts w:ascii="Arial" w:hAnsi="Arial" w:cs="Arial"/>
          <w:sz w:val="22"/>
          <w:szCs w:val="22"/>
        </w:rPr>
        <w:t>s</w:t>
      </w:r>
      <w:r w:rsidR="000C02B2" w:rsidRPr="000C02B2">
        <w:rPr>
          <w:rFonts w:ascii="Arial" w:hAnsi="Arial" w:cs="Arial"/>
          <w:sz w:val="22"/>
          <w:szCs w:val="22"/>
        </w:rPr>
        <w:t>; and</w:t>
      </w:r>
      <w:r w:rsidRPr="000C02B2">
        <w:rPr>
          <w:rFonts w:ascii="Arial" w:hAnsi="Arial" w:cs="Arial"/>
          <w:sz w:val="22"/>
          <w:szCs w:val="22"/>
        </w:rPr>
        <w:t xml:space="preserve"> </w:t>
      </w:r>
      <w:bookmarkStart w:id="5" w:name="_Hlk89171477"/>
    </w:p>
    <w:p w14:paraId="51F23E96" w14:textId="65C9E4A5" w:rsidR="00636B9B" w:rsidRPr="000C02B2" w:rsidRDefault="00D83B7B" w:rsidP="008B5C0E">
      <w:pPr>
        <w:numPr>
          <w:ilvl w:val="0"/>
          <w:numId w:val="2"/>
        </w:numPr>
        <w:spacing w:before="8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expands </w:t>
      </w:r>
      <w:r w:rsidR="00636B9B" w:rsidRPr="000C02B2">
        <w:rPr>
          <w:rFonts w:ascii="Arial" w:hAnsi="Arial" w:cs="Arial"/>
          <w:sz w:val="22"/>
          <w:szCs w:val="22"/>
        </w:rPr>
        <w:t>the Workers’ Compensation Regulator’s enforcement and investigation powers so it can effectively prosecute claim farming</w:t>
      </w:r>
      <w:r w:rsidR="000C02B2" w:rsidRPr="000C02B2">
        <w:rPr>
          <w:rFonts w:ascii="Arial" w:hAnsi="Arial" w:cs="Arial"/>
          <w:sz w:val="22"/>
          <w:szCs w:val="22"/>
        </w:rPr>
        <w:t>.</w:t>
      </w:r>
      <w:r w:rsidR="00636B9B" w:rsidRPr="000C02B2">
        <w:rPr>
          <w:rFonts w:ascii="Arial" w:hAnsi="Arial" w:cs="Arial"/>
          <w:sz w:val="22"/>
          <w:szCs w:val="22"/>
        </w:rPr>
        <w:t xml:space="preserve"> </w:t>
      </w:r>
      <w:bookmarkEnd w:id="4"/>
    </w:p>
    <w:bookmarkEnd w:id="5"/>
    <w:p w14:paraId="4B4B5612" w14:textId="668C9B8C" w:rsidR="000C02B2" w:rsidRPr="000C02B2" w:rsidRDefault="000C02B2" w:rsidP="008B5C0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C02B2">
        <w:rPr>
          <w:rFonts w:ascii="Arial" w:hAnsi="Arial" w:cs="Arial"/>
          <w:sz w:val="22"/>
          <w:szCs w:val="22"/>
        </w:rPr>
        <w:t xml:space="preserve">In response to advice from legal stakeholders, legal practitioners will also be required to include certain additional amounts </w:t>
      </w:r>
      <w:r w:rsidR="00473382">
        <w:rPr>
          <w:rFonts w:ascii="Arial" w:hAnsi="Arial" w:cs="Arial"/>
          <w:sz w:val="22"/>
          <w:szCs w:val="22"/>
        </w:rPr>
        <w:t xml:space="preserve">for fees and disbursement with </w:t>
      </w:r>
      <w:r w:rsidRPr="000C02B2">
        <w:rPr>
          <w:rFonts w:ascii="Arial" w:hAnsi="Arial" w:cs="Arial"/>
          <w:sz w:val="22"/>
          <w:szCs w:val="22"/>
        </w:rPr>
        <w:t xml:space="preserve">legal costs </w:t>
      </w:r>
      <w:r w:rsidR="00473382">
        <w:rPr>
          <w:rFonts w:ascii="Arial" w:hAnsi="Arial" w:cs="Arial"/>
          <w:sz w:val="22"/>
          <w:szCs w:val="22"/>
        </w:rPr>
        <w:t xml:space="preserve">when </w:t>
      </w:r>
      <w:r w:rsidRPr="000C02B2">
        <w:rPr>
          <w:rFonts w:ascii="Arial" w:hAnsi="Arial" w:cs="Arial"/>
          <w:sz w:val="22"/>
          <w:szCs w:val="22"/>
        </w:rPr>
        <w:t xml:space="preserve">determining whether the legal costs charged to a client exceed the statutory limit under the </w:t>
      </w:r>
      <w:r w:rsidR="00A600D9" w:rsidRPr="00F451B1">
        <w:rPr>
          <w:rFonts w:ascii="Arial" w:hAnsi="Arial" w:cs="Arial"/>
          <w:sz w:val="22"/>
          <w:szCs w:val="22"/>
        </w:rPr>
        <w:t>LP Act</w:t>
      </w:r>
      <w:r w:rsidRPr="000C02B2">
        <w:rPr>
          <w:rFonts w:ascii="Arial" w:hAnsi="Arial" w:cs="Arial"/>
          <w:sz w:val="22"/>
          <w:szCs w:val="22"/>
        </w:rPr>
        <w:t xml:space="preserve">.  </w:t>
      </w:r>
    </w:p>
    <w:p w14:paraId="4F4DF8BF" w14:textId="6301D39C" w:rsidR="00636B9B" w:rsidRPr="000C02B2" w:rsidRDefault="00636B9B" w:rsidP="008B5C0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C02B2">
        <w:rPr>
          <w:rFonts w:ascii="Arial" w:hAnsi="Arial" w:cs="Arial"/>
          <w:sz w:val="22"/>
          <w:szCs w:val="22"/>
        </w:rPr>
        <w:t>The Bill also c</w:t>
      </w:r>
      <w:r w:rsidR="00D83B7B">
        <w:rPr>
          <w:rFonts w:ascii="Arial" w:hAnsi="Arial" w:cs="Arial"/>
          <w:sz w:val="22"/>
          <w:szCs w:val="22"/>
        </w:rPr>
        <w:t xml:space="preserve">onfirms </w:t>
      </w:r>
      <w:r w:rsidRPr="000C02B2">
        <w:rPr>
          <w:rFonts w:ascii="Arial" w:hAnsi="Arial" w:cs="Arial"/>
          <w:sz w:val="22"/>
          <w:szCs w:val="22"/>
        </w:rPr>
        <w:t xml:space="preserve">when an entitlement for terminal compensation arises under the WCR Act and includes technical and clarifying amendments to the </w:t>
      </w:r>
      <w:r w:rsidRPr="000C02B2">
        <w:rPr>
          <w:rFonts w:ascii="Arial" w:hAnsi="Arial" w:cs="Arial"/>
          <w:i/>
          <w:iCs/>
          <w:sz w:val="22"/>
          <w:szCs w:val="22"/>
        </w:rPr>
        <w:t xml:space="preserve">Electoral Act 1992 </w:t>
      </w:r>
      <w:r w:rsidRPr="000C02B2">
        <w:rPr>
          <w:rFonts w:ascii="Arial" w:hAnsi="Arial" w:cs="Arial"/>
          <w:sz w:val="22"/>
          <w:szCs w:val="22"/>
        </w:rPr>
        <w:t>to address implementation issues regarding the new political donation caps due to commence on 1 July 2022.</w:t>
      </w:r>
    </w:p>
    <w:p w14:paraId="171E13CE" w14:textId="33C47D9C" w:rsidR="005565F5" w:rsidRPr="003E5226" w:rsidRDefault="00B65391" w:rsidP="008B5C0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</w:t>
      </w:r>
      <w:r w:rsidRPr="001E63FF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 </w:t>
      </w:r>
      <w:r w:rsidR="005565F5" w:rsidRPr="001E63FF">
        <w:rPr>
          <w:rFonts w:ascii="Arial" w:hAnsi="Arial" w:cs="Arial"/>
          <w:bCs/>
          <w:spacing w:val="-3"/>
          <w:sz w:val="22"/>
          <w:szCs w:val="22"/>
          <w:u w:val="single"/>
        </w:rPr>
        <w:t>approved</w:t>
      </w:r>
      <w:r w:rsidR="005565F5">
        <w:rPr>
          <w:rFonts w:ascii="Arial" w:hAnsi="Arial" w:cs="Arial"/>
          <w:bCs/>
          <w:spacing w:val="-3"/>
          <w:sz w:val="22"/>
          <w:szCs w:val="22"/>
        </w:rPr>
        <w:t xml:space="preserve"> the introduction of the </w:t>
      </w:r>
      <w:r w:rsidR="000C02B2" w:rsidRPr="000C02B2">
        <w:rPr>
          <w:rFonts w:ascii="Arial" w:hAnsi="Arial" w:cs="Arial"/>
          <w:sz w:val="22"/>
          <w:szCs w:val="22"/>
        </w:rPr>
        <w:t>Personal Injuries Proceedings and Other Legislation Amendment Bill 2022</w:t>
      </w:r>
      <w:r w:rsidR="007E6951">
        <w:rPr>
          <w:rFonts w:ascii="Arial" w:hAnsi="Arial" w:cs="Arial"/>
          <w:sz w:val="22"/>
          <w:szCs w:val="22"/>
        </w:rPr>
        <w:t xml:space="preserve"> into the Legislative Assembly</w:t>
      </w:r>
      <w:r w:rsidR="005565F5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77EA8718" w14:textId="410477E1" w:rsidR="005565F5" w:rsidRPr="00725593" w:rsidRDefault="005565F5" w:rsidP="008B5C0E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i/>
          <w:iCs/>
          <w:sz w:val="22"/>
          <w:szCs w:val="22"/>
        </w:rPr>
      </w:pPr>
      <w:r w:rsidRPr="00725593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 w:rsidRPr="00725593">
        <w:rPr>
          <w:rFonts w:ascii="Arial" w:hAnsi="Arial" w:cs="Arial"/>
          <w:i/>
          <w:iCs/>
          <w:sz w:val="22"/>
          <w:szCs w:val="22"/>
        </w:rPr>
        <w:t xml:space="preserve">: </w:t>
      </w:r>
    </w:p>
    <w:p w14:paraId="742A4D2D" w14:textId="3529D57A" w:rsidR="000C02B2" w:rsidRDefault="00B5030D" w:rsidP="008B5C0E">
      <w:pPr>
        <w:numPr>
          <w:ilvl w:val="0"/>
          <w:numId w:val="2"/>
        </w:numPr>
        <w:spacing w:before="8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0C02B2" w:rsidRPr="00330150">
          <w:rPr>
            <w:rStyle w:val="Hyperlink"/>
            <w:rFonts w:ascii="Arial" w:hAnsi="Arial" w:cs="Arial"/>
            <w:sz w:val="22"/>
            <w:szCs w:val="22"/>
          </w:rPr>
          <w:t xml:space="preserve">Personal Injuries Proceedings and Other Legislation Amendment Bill 2022 </w:t>
        </w:r>
      </w:hyperlink>
    </w:p>
    <w:p w14:paraId="6DC9F8B7" w14:textId="672804B5" w:rsidR="005565F5" w:rsidRDefault="00B5030D" w:rsidP="008B5C0E">
      <w:pPr>
        <w:numPr>
          <w:ilvl w:val="0"/>
          <w:numId w:val="2"/>
        </w:numPr>
        <w:spacing w:before="8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5565F5" w:rsidRPr="00330150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14:paraId="6D8324DE" w14:textId="5054EF2E" w:rsidR="00C845CB" w:rsidRDefault="00B5030D" w:rsidP="008B5C0E">
      <w:pPr>
        <w:numPr>
          <w:ilvl w:val="0"/>
          <w:numId w:val="2"/>
        </w:numPr>
        <w:spacing w:before="80"/>
        <w:ind w:left="811"/>
        <w:jc w:val="both"/>
      </w:pPr>
      <w:hyperlink r:id="rId12" w:history="1">
        <w:r w:rsidR="005565F5" w:rsidRPr="00330150">
          <w:rPr>
            <w:rStyle w:val="Hyperlink"/>
            <w:rFonts w:ascii="Arial" w:hAnsi="Arial" w:cs="Arial"/>
            <w:sz w:val="22"/>
            <w:szCs w:val="22"/>
          </w:rPr>
          <w:t>Human Rights Statement of Compatibility</w:t>
        </w:r>
      </w:hyperlink>
    </w:p>
    <w:sectPr w:rsidR="00C845CB" w:rsidSect="008B5C0E">
      <w:headerReference w:type="default" r:id="rId13"/>
      <w:pgSz w:w="11906" w:h="16838" w:code="9"/>
      <w:pgMar w:top="1134" w:right="99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87957" w14:textId="77777777" w:rsidR="000A0D78" w:rsidRDefault="000A0D78" w:rsidP="00685D54">
      <w:r>
        <w:separator/>
      </w:r>
    </w:p>
  </w:endnote>
  <w:endnote w:type="continuationSeparator" w:id="0">
    <w:p w14:paraId="5A968B93" w14:textId="77777777" w:rsidR="000A0D78" w:rsidRDefault="000A0D78" w:rsidP="00685D54">
      <w:r>
        <w:continuationSeparator/>
      </w:r>
    </w:p>
  </w:endnote>
  <w:endnote w:type="continuationNotice" w:id="1">
    <w:p w14:paraId="21163860" w14:textId="77777777" w:rsidR="000A0D78" w:rsidRDefault="000A0D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FA2EC" w14:textId="77777777" w:rsidR="000A0D78" w:rsidRDefault="000A0D78" w:rsidP="00685D54">
      <w:r>
        <w:separator/>
      </w:r>
    </w:p>
  </w:footnote>
  <w:footnote w:type="continuationSeparator" w:id="0">
    <w:p w14:paraId="01F2E0E4" w14:textId="77777777" w:rsidR="000A0D78" w:rsidRDefault="000A0D78" w:rsidP="00685D54">
      <w:r>
        <w:continuationSeparator/>
      </w:r>
    </w:p>
  </w:footnote>
  <w:footnote w:type="continuationNotice" w:id="1">
    <w:p w14:paraId="645F07F4" w14:textId="77777777" w:rsidR="000A0D78" w:rsidRDefault="000A0D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96466" w14:textId="77777777" w:rsidR="007E6951" w:rsidRPr="00937A4A" w:rsidRDefault="007E6951" w:rsidP="007E695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70FD5134" w14:textId="77777777" w:rsidR="007E6951" w:rsidRPr="00937A4A" w:rsidRDefault="007E6951" w:rsidP="007E695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41212F92" w14:textId="1EBE0EED" w:rsidR="007E6951" w:rsidRPr="00937A4A" w:rsidRDefault="007E6951" w:rsidP="007E695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March 2022</w:t>
    </w:r>
  </w:p>
  <w:p w14:paraId="312AC93C" w14:textId="4E069B51" w:rsidR="007E6951" w:rsidRDefault="007E6951" w:rsidP="008B5C0E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color w:val="auto"/>
        <w:sz w:val="22"/>
        <w:szCs w:val="22"/>
        <w:u w:val="single"/>
      </w:rPr>
      <w:t xml:space="preserve">Personal Injuries Proceedings and Other Legislation </w:t>
    </w:r>
    <w:r w:rsidRPr="00685D54">
      <w:rPr>
        <w:rFonts w:ascii="Arial" w:hAnsi="Arial" w:cs="Arial"/>
        <w:b/>
        <w:color w:val="auto"/>
        <w:sz w:val="22"/>
        <w:szCs w:val="22"/>
        <w:u w:val="single"/>
      </w:rPr>
      <w:t>Amendment Bill 202</w:t>
    </w:r>
    <w:r>
      <w:rPr>
        <w:rFonts w:ascii="Arial" w:hAnsi="Arial" w:cs="Arial"/>
        <w:b/>
        <w:color w:val="auto"/>
        <w:sz w:val="22"/>
        <w:szCs w:val="22"/>
        <w:u w:val="single"/>
      </w:rPr>
      <w:t>2</w:t>
    </w:r>
  </w:p>
  <w:p w14:paraId="5176CA6D" w14:textId="56A15622" w:rsidR="007E6951" w:rsidRDefault="007E6951" w:rsidP="008B5C0E">
    <w:pPr>
      <w:pStyle w:val="Header"/>
      <w:spacing w:before="120"/>
      <w:jc w:val="both"/>
      <w:rPr>
        <w:rFonts w:ascii="Arial" w:hAnsi="Arial" w:cs="Arial"/>
        <w:b/>
        <w:color w:val="auto"/>
        <w:sz w:val="22"/>
        <w:szCs w:val="22"/>
        <w:u w:val="single"/>
      </w:rPr>
    </w:pPr>
    <w:r w:rsidRPr="0098719C">
      <w:rPr>
        <w:rFonts w:ascii="Arial" w:hAnsi="Arial" w:cs="Arial"/>
        <w:b/>
        <w:color w:val="auto"/>
        <w:sz w:val="22"/>
        <w:szCs w:val="22"/>
        <w:u w:val="single"/>
      </w:rPr>
      <w:t>Attorney-General and Minister for Justice, Minister for Women and Minister for the Prevention of Domestic and Family Violenc</w:t>
    </w:r>
    <w:r>
      <w:rPr>
        <w:rFonts w:ascii="Arial" w:hAnsi="Arial" w:cs="Arial"/>
        <w:b/>
        <w:color w:val="auto"/>
        <w:sz w:val="22"/>
        <w:szCs w:val="22"/>
        <w:u w:val="single"/>
      </w:rPr>
      <w:t>e</w:t>
    </w:r>
  </w:p>
  <w:p w14:paraId="06722A5A" w14:textId="05099021" w:rsidR="007E6951" w:rsidRPr="008B5C0E" w:rsidRDefault="007E6951" w:rsidP="008B5C0E">
    <w:pPr>
      <w:pStyle w:val="Header"/>
      <w:jc w:val="both"/>
      <w:rPr>
        <w:rFonts w:ascii="Arial" w:hAnsi="Arial" w:cs="Arial"/>
        <w:b/>
        <w:sz w:val="22"/>
        <w:szCs w:val="22"/>
        <w:u w:val="single"/>
      </w:rPr>
    </w:pPr>
    <w:r w:rsidRPr="008B5C0E">
      <w:rPr>
        <w:rFonts w:ascii="Arial" w:hAnsi="Arial" w:cs="Arial"/>
        <w:b/>
        <w:bCs/>
        <w:noProof/>
        <w:sz w:val="22"/>
        <w:szCs w:val="22"/>
        <w:u w:val="single"/>
      </w:rPr>
      <w:t>Minister for Education, Minister for Industrial Relations and Minister for Racing</w:t>
    </w:r>
  </w:p>
  <w:p w14:paraId="5540AA50" w14:textId="77777777" w:rsidR="007E6951" w:rsidRPr="008B5C0E" w:rsidRDefault="007E6951" w:rsidP="007E6951">
    <w:pPr>
      <w:pStyle w:val="Header"/>
      <w:pBdr>
        <w:bottom w:val="single" w:sz="4" w:space="1" w:color="auto"/>
      </w:pBd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F6B92"/>
    <w:multiLevelType w:val="hybridMultilevel"/>
    <w:tmpl w:val="20B87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E4382"/>
    <w:multiLevelType w:val="hybridMultilevel"/>
    <w:tmpl w:val="1F8ECF7E"/>
    <w:lvl w:ilvl="0" w:tplc="B4AE2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D716F054"/>
    <w:lvl w:ilvl="0" w:tplc="74684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1956384">
    <w:abstractNumId w:val="3"/>
  </w:num>
  <w:num w:numId="2" w16cid:durableId="2106876383">
    <w:abstractNumId w:val="2"/>
  </w:num>
  <w:num w:numId="3" w16cid:durableId="153379292">
    <w:abstractNumId w:val="1"/>
  </w:num>
  <w:num w:numId="4" w16cid:durableId="920874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26"/>
    <w:rsid w:val="00023365"/>
    <w:rsid w:val="00066A31"/>
    <w:rsid w:val="00097A94"/>
    <w:rsid w:val="000A0D78"/>
    <w:rsid w:val="000C02B2"/>
    <w:rsid w:val="001174CD"/>
    <w:rsid w:val="00194949"/>
    <w:rsid w:val="001F0918"/>
    <w:rsid w:val="001F22C8"/>
    <w:rsid w:val="001F5F5B"/>
    <w:rsid w:val="00200684"/>
    <w:rsid w:val="002037E6"/>
    <w:rsid w:val="00227A22"/>
    <w:rsid w:val="00290326"/>
    <w:rsid w:val="002A1E9D"/>
    <w:rsid w:val="002B6114"/>
    <w:rsid w:val="002C240D"/>
    <w:rsid w:val="002E0053"/>
    <w:rsid w:val="00300C5F"/>
    <w:rsid w:val="00330150"/>
    <w:rsid w:val="003502BA"/>
    <w:rsid w:val="0036761B"/>
    <w:rsid w:val="00392886"/>
    <w:rsid w:val="00395ECA"/>
    <w:rsid w:val="003A26BB"/>
    <w:rsid w:val="003B1C0E"/>
    <w:rsid w:val="003C3A08"/>
    <w:rsid w:val="003C7084"/>
    <w:rsid w:val="003D255C"/>
    <w:rsid w:val="003E3523"/>
    <w:rsid w:val="003E4A45"/>
    <w:rsid w:val="003E5CCF"/>
    <w:rsid w:val="00411B18"/>
    <w:rsid w:val="004161E7"/>
    <w:rsid w:val="0043395A"/>
    <w:rsid w:val="00441FF7"/>
    <w:rsid w:val="004461D7"/>
    <w:rsid w:val="004709F3"/>
    <w:rsid w:val="00473382"/>
    <w:rsid w:val="00475F9A"/>
    <w:rsid w:val="00481D67"/>
    <w:rsid w:val="004C1426"/>
    <w:rsid w:val="00511D4E"/>
    <w:rsid w:val="00512803"/>
    <w:rsid w:val="005259BB"/>
    <w:rsid w:val="005565F5"/>
    <w:rsid w:val="005749EE"/>
    <w:rsid w:val="00580C0C"/>
    <w:rsid w:val="00581C23"/>
    <w:rsid w:val="00585CB8"/>
    <w:rsid w:val="00590B51"/>
    <w:rsid w:val="005A48FA"/>
    <w:rsid w:val="00601047"/>
    <w:rsid w:val="00636B9B"/>
    <w:rsid w:val="00653744"/>
    <w:rsid w:val="006601FD"/>
    <w:rsid w:val="00685D54"/>
    <w:rsid w:val="006A5DD5"/>
    <w:rsid w:val="006A7E86"/>
    <w:rsid w:val="00701F71"/>
    <w:rsid w:val="00725593"/>
    <w:rsid w:val="007275E9"/>
    <w:rsid w:val="007B03F7"/>
    <w:rsid w:val="007D7F08"/>
    <w:rsid w:val="007E6951"/>
    <w:rsid w:val="00800871"/>
    <w:rsid w:val="00844BBD"/>
    <w:rsid w:val="008638C3"/>
    <w:rsid w:val="00891904"/>
    <w:rsid w:val="008A55FF"/>
    <w:rsid w:val="008B5C0E"/>
    <w:rsid w:val="008D0242"/>
    <w:rsid w:val="009170B5"/>
    <w:rsid w:val="00946415"/>
    <w:rsid w:val="009516C7"/>
    <w:rsid w:val="0097127B"/>
    <w:rsid w:val="0098719C"/>
    <w:rsid w:val="009D104F"/>
    <w:rsid w:val="00A0369E"/>
    <w:rsid w:val="00A040CA"/>
    <w:rsid w:val="00A079CB"/>
    <w:rsid w:val="00A2584C"/>
    <w:rsid w:val="00A33759"/>
    <w:rsid w:val="00A47B9E"/>
    <w:rsid w:val="00A600D9"/>
    <w:rsid w:val="00A63444"/>
    <w:rsid w:val="00A769F0"/>
    <w:rsid w:val="00AC573C"/>
    <w:rsid w:val="00AD03EE"/>
    <w:rsid w:val="00AE5294"/>
    <w:rsid w:val="00AF2CE4"/>
    <w:rsid w:val="00B246DE"/>
    <w:rsid w:val="00B5030D"/>
    <w:rsid w:val="00B5061E"/>
    <w:rsid w:val="00B65391"/>
    <w:rsid w:val="00B701BB"/>
    <w:rsid w:val="00B96FC0"/>
    <w:rsid w:val="00BA72AF"/>
    <w:rsid w:val="00BB0E98"/>
    <w:rsid w:val="00BB5E0A"/>
    <w:rsid w:val="00BF0E60"/>
    <w:rsid w:val="00C47D2F"/>
    <w:rsid w:val="00C5168C"/>
    <w:rsid w:val="00C57EB1"/>
    <w:rsid w:val="00C845CB"/>
    <w:rsid w:val="00CB4F50"/>
    <w:rsid w:val="00CB6515"/>
    <w:rsid w:val="00CC53B9"/>
    <w:rsid w:val="00D6398C"/>
    <w:rsid w:val="00D738CC"/>
    <w:rsid w:val="00D83B7B"/>
    <w:rsid w:val="00DA1427"/>
    <w:rsid w:val="00DC0C45"/>
    <w:rsid w:val="00DF7162"/>
    <w:rsid w:val="00E03E8B"/>
    <w:rsid w:val="00E31D18"/>
    <w:rsid w:val="00E41939"/>
    <w:rsid w:val="00E81690"/>
    <w:rsid w:val="00EB53FC"/>
    <w:rsid w:val="00EC44AB"/>
    <w:rsid w:val="00F0357D"/>
    <w:rsid w:val="00F359FF"/>
    <w:rsid w:val="00F447FE"/>
    <w:rsid w:val="00F451B1"/>
    <w:rsid w:val="00F71660"/>
    <w:rsid w:val="00F71F5D"/>
    <w:rsid w:val="00F86502"/>
    <w:rsid w:val="00FA08BC"/>
    <w:rsid w:val="00FB07D5"/>
    <w:rsid w:val="00FD27E8"/>
    <w:rsid w:val="00FF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D58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D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D54"/>
    <w:rPr>
      <w:rFonts w:ascii="Segoe UI" w:eastAsia="Times New Roman" w:hAnsi="Segoe UI" w:cs="Segoe UI"/>
      <w:color w:val="000000"/>
      <w:sz w:val="18"/>
      <w:szCs w:val="1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85D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D54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85D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D54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styleId="CommentReference">
    <w:name w:val="annotation reference"/>
    <w:semiHidden/>
    <w:unhideWhenUsed/>
    <w:rsid w:val="003E352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E352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E3523"/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636B9B"/>
    <w:pPr>
      <w:ind w:left="720"/>
      <w:contextualSpacing/>
    </w:pPr>
  </w:style>
  <w:style w:type="paragraph" w:styleId="Revision">
    <w:name w:val="Revision"/>
    <w:hidden/>
    <w:uiPriority w:val="99"/>
    <w:semiHidden/>
    <w:rsid w:val="007E69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3301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ttachments/SoC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e311de-a790-43ff-be63-577c26c7507c" xsi:nil="true"/>
    <lcf76f155ced4ddcb4097134ff3c332f xmlns="b8ed82f2-f7bd-423c-8698-5e132afe924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35C751-8F2C-438E-A195-619C2BCA2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F6065A-7FE8-4BFE-9ABC-B13AF174466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8ed82f2-f7bd-423c-8698-5e132afe9245"/>
    <ds:schemaRef ds:uri="http://schemas.microsoft.com/office/infopath/2007/PartnerControls"/>
    <ds:schemaRef ds:uri="http://purl.org/dc/elements/1.1/"/>
    <ds:schemaRef ds:uri="http://schemas.microsoft.com/office/2006/metadata/properties"/>
    <ds:schemaRef ds:uri="63e311de-a790-43ff-be63-577c26c7507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73AE9B2-0F68-456C-8A51-BBE8C691E6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452</Words>
  <Characters>2575</Characters>
  <Application>Microsoft Office Word</Application>
  <DocSecurity>0</DocSecurity>
  <Lines>40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Base>https://www.cabinet.qld.gov.au/documents/2022/Mar/PIPOLAB22/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cp:lastPrinted>2022-03-23T05:47:00Z</cp:lastPrinted>
  <dcterms:created xsi:type="dcterms:W3CDTF">2022-10-12T00:39:00Z</dcterms:created>
  <dcterms:modified xsi:type="dcterms:W3CDTF">2023-01-19T22:40:00Z</dcterms:modified>
  <cp:category>Consumer_Protection,Legislation,Workers_Compensation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0x0101008ABC7B85FF322D4B8AE3B78A6C4BF8F236003676C79C0042F2438343DFFA05F72778</vt:lpwstr>
  </property>
  <property fmtid="{D5CDD505-2E9C-101B-9397-08002B2CF9AE}" pid="3" name="TaxKeyword">
    <vt:lpwstr/>
  </property>
  <property fmtid="{D5CDD505-2E9C-101B-9397-08002B2CF9AE}" pid="4" name="WorkflowChangePath">
    <vt:lpwstr>a7fd4e4a-3707-421d-bbd0-9fd5aa0dec9b,4;</vt:lpwstr>
  </property>
  <property fmtid="{D5CDD505-2E9C-101B-9397-08002B2CF9AE}" pid="5" name="MediaServiceImageTags">
    <vt:lpwstr/>
  </property>
  <property fmtid="{D5CDD505-2E9C-101B-9397-08002B2CF9AE}" pid="6" name="MSIP_Label_282828d4-d65e-4c38-b4f3-1feba3142871_Enabled">
    <vt:lpwstr>true</vt:lpwstr>
  </property>
  <property fmtid="{D5CDD505-2E9C-101B-9397-08002B2CF9AE}" pid="7" name="MSIP_Label_282828d4-d65e-4c38-b4f3-1feba3142871_SetDate">
    <vt:lpwstr>2023-01-19T22:40:20Z</vt:lpwstr>
  </property>
  <property fmtid="{D5CDD505-2E9C-101B-9397-08002B2CF9AE}" pid="8" name="MSIP_Label_282828d4-d65e-4c38-b4f3-1feba3142871_Method">
    <vt:lpwstr>Standard</vt:lpwstr>
  </property>
  <property fmtid="{D5CDD505-2E9C-101B-9397-08002B2CF9AE}" pid="9" name="MSIP_Label_282828d4-d65e-4c38-b4f3-1feba3142871_Name">
    <vt:lpwstr>OFFICIAL</vt:lpwstr>
  </property>
  <property fmtid="{D5CDD505-2E9C-101B-9397-08002B2CF9AE}" pid="10" name="MSIP_Label_282828d4-d65e-4c38-b4f3-1feba3142871_SiteId">
    <vt:lpwstr>51778d2a-a6ab-4c76-97dc-782782d65046</vt:lpwstr>
  </property>
  <property fmtid="{D5CDD505-2E9C-101B-9397-08002B2CF9AE}" pid="11" name="MSIP_Label_282828d4-d65e-4c38-b4f3-1feba3142871_ActionId">
    <vt:lpwstr>613377f0-c09b-4eaa-a226-adadfd990363</vt:lpwstr>
  </property>
  <property fmtid="{D5CDD505-2E9C-101B-9397-08002B2CF9AE}" pid="12" name="MSIP_Label_282828d4-d65e-4c38-b4f3-1feba3142871_ContentBits">
    <vt:lpwstr>0</vt:lpwstr>
  </property>
</Properties>
</file>